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E" w:rsidRPr="00CE262C" w:rsidRDefault="002B767E" w:rsidP="002B767E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bidi="ar-SA"/>
        </w:rPr>
        <w:drawing>
          <wp:inline distT="0" distB="0" distL="0" distR="0">
            <wp:extent cx="605790" cy="79565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7E" w:rsidRPr="00A23BCA" w:rsidRDefault="002B767E" w:rsidP="002B767E">
      <w:pPr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B767E" w:rsidRPr="00A23BCA" w:rsidRDefault="002B767E" w:rsidP="002B76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КАЗАЧКИНСКОГО</w:t>
      </w:r>
      <w:r w:rsidRPr="00A23BC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B767E" w:rsidRPr="00A23BCA" w:rsidRDefault="002B767E" w:rsidP="002B767E">
      <w:pPr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2B767E" w:rsidRPr="00A23BCA" w:rsidRDefault="002B767E" w:rsidP="002B767E">
      <w:pPr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B767E" w:rsidRPr="00A23BCA" w:rsidRDefault="002B767E" w:rsidP="002B76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</w:t>
      </w:r>
      <w:r w:rsidRPr="00A23BCA">
        <w:rPr>
          <w:rFonts w:ascii="Times New Roman" w:hAnsi="Times New Roman"/>
          <w:b/>
          <w:sz w:val="28"/>
          <w:szCs w:val="28"/>
        </w:rPr>
        <w:t>го созыва)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B767E">
        <w:rPr>
          <w:rStyle w:val="a5"/>
          <w:color w:val="333333"/>
          <w:sz w:val="28"/>
          <w:szCs w:val="28"/>
        </w:rPr>
        <w:t> </w:t>
      </w:r>
    </w:p>
    <w:p w:rsidR="002B767E" w:rsidRPr="002B767E" w:rsidRDefault="002B767E" w:rsidP="006575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B767E">
        <w:rPr>
          <w:rStyle w:val="a5"/>
          <w:color w:val="333333"/>
          <w:sz w:val="28"/>
          <w:szCs w:val="28"/>
        </w:rPr>
        <w:t>РЕШЕНИЕ</w:t>
      </w:r>
    </w:p>
    <w:p w:rsidR="008D0E3A" w:rsidRDefault="008D0E3A" w:rsidP="002B767E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                   </w:t>
      </w:r>
      <w:r w:rsidR="002B767E" w:rsidRPr="002B767E">
        <w:rPr>
          <w:rStyle w:val="a5"/>
          <w:color w:val="333333"/>
          <w:sz w:val="28"/>
          <w:szCs w:val="28"/>
        </w:rPr>
        <w:t xml:space="preserve">от </w:t>
      </w:r>
      <w:r>
        <w:rPr>
          <w:rStyle w:val="a5"/>
          <w:color w:val="333333"/>
          <w:sz w:val="28"/>
          <w:szCs w:val="28"/>
        </w:rPr>
        <w:t xml:space="preserve"> 21 июня </w:t>
      </w:r>
      <w:r w:rsidR="002B767E" w:rsidRPr="002B767E">
        <w:rPr>
          <w:rStyle w:val="a5"/>
          <w:color w:val="333333"/>
          <w:sz w:val="28"/>
          <w:szCs w:val="28"/>
        </w:rPr>
        <w:t xml:space="preserve">2021 года        </w:t>
      </w:r>
      <w:r>
        <w:rPr>
          <w:rStyle w:val="a5"/>
          <w:color w:val="333333"/>
          <w:sz w:val="28"/>
          <w:szCs w:val="28"/>
        </w:rPr>
        <w:t xml:space="preserve">            </w:t>
      </w:r>
      <w:r w:rsidR="002B767E" w:rsidRPr="002B767E">
        <w:rPr>
          <w:rStyle w:val="a5"/>
          <w:color w:val="333333"/>
          <w:sz w:val="28"/>
          <w:szCs w:val="28"/>
        </w:rPr>
        <w:t>№</w:t>
      </w:r>
      <w:r>
        <w:rPr>
          <w:rStyle w:val="a5"/>
          <w:color w:val="333333"/>
          <w:sz w:val="28"/>
          <w:szCs w:val="28"/>
        </w:rPr>
        <w:t xml:space="preserve"> 16-339</w:t>
      </w:r>
      <w:r w:rsidR="008926A8">
        <w:rPr>
          <w:rStyle w:val="a5"/>
          <w:color w:val="333333"/>
          <w:sz w:val="28"/>
          <w:szCs w:val="28"/>
        </w:rPr>
        <w:t>     </w:t>
      </w:r>
    </w:p>
    <w:p w:rsidR="002B767E" w:rsidRPr="002B767E" w:rsidRDefault="008D0E3A" w:rsidP="008D0E3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с.Казачка</w:t>
      </w:r>
    </w:p>
    <w:p w:rsidR="002B767E" w:rsidRPr="00657536" w:rsidRDefault="002B767E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57536">
        <w:rPr>
          <w:b/>
          <w:color w:val="333333"/>
          <w:sz w:val="28"/>
          <w:szCs w:val="28"/>
        </w:rPr>
        <w:t>Об утверждении Порядка рассмотрения Советом</w:t>
      </w:r>
    </w:p>
    <w:p w:rsidR="00657536" w:rsidRDefault="002B767E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57536">
        <w:rPr>
          <w:b/>
          <w:color w:val="333333"/>
          <w:sz w:val="28"/>
          <w:szCs w:val="28"/>
        </w:rPr>
        <w:t xml:space="preserve">депутатов </w:t>
      </w:r>
      <w:r w:rsidR="00657536" w:rsidRPr="00657536">
        <w:rPr>
          <w:b/>
          <w:color w:val="333333"/>
          <w:sz w:val="28"/>
          <w:szCs w:val="28"/>
        </w:rPr>
        <w:t>Казачкинского</w:t>
      </w:r>
      <w:r w:rsidRPr="00657536">
        <w:rPr>
          <w:b/>
          <w:color w:val="333333"/>
          <w:sz w:val="28"/>
          <w:szCs w:val="28"/>
        </w:rPr>
        <w:t xml:space="preserve"> муниципального образования</w:t>
      </w:r>
      <w:r w:rsidR="00657536">
        <w:rPr>
          <w:b/>
          <w:color w:val="333333"/>
          <w:sz w:val="28"/>
          <w:szCs w:val="28"/>
        </w:rPr>
        <w:t xml:space="preserve"> </w:t>
      </w:r>
    </w:p>
    <w:p w:rsidR="002B767E" w:rsidRP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Калининского муниципального района Саратовской области </w:t>
      </w:r>
    </w:p>
    <w:p w:rsidR="002B767E" w:rsidRPr="00657536" w:rsidRDefault="002B767E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57536">
        <w:rPr>
          <w:b/>
          <w:color w:val="333333"/>
          <w:sz w:val="28"/>
          <w:szCs w:val="28"/>
        </w:rPr>
        <w:t>проектов муниципальных программ и предложений</w:t>
      </w:r>
    </w:p>
    <w:p w:rsidR="002B767E" w:rsidRPr="00657536" w:rsidRDefault="002B767E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57536">
        <w:rPr>
          <w:b/>
          <w:color w:val="333333"/>
          <w:sz w:val="28"/>
          <w:szCs w:val="28"/>
        </w:rPr>
        <w:t>о внесении изменений в муниципальные программы</w:t>
      </w:r>
    </w:p>
    <w:p w:rsidR="00657536" w:rsidRP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57536">
        <w:rPr>
          <w:b/>
          <w:color w:val="333333"/>
          <w:sz w:val="28"/>
          <w:szCs w:val="28"/>
        </w:rPr>
        <w:t>Казачкинского</w:t>
      </w:r>
      <w:r w:rsidR="002B767E" w:rsidRPr="00657536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 xml:space="preserve">В соответствии с частью 2 статьи 179 Бюджетного кодекса Российской Федерации, Уставом </w:t>
      </w:r>
      <w:r w:rsidR="00657536">
        <w:rPr>
          <w:color w:val="333333"/>
          <w:sz w:val="28"/>
          <w:szCs w:val="28"/>
        </w:rPr>
        <w:t>Казачкинского</w:t>
      </w:r>
      <w:r w:rsidRPr="002B767E">
        <w:rPr>
          <w:color w:val="333333"/>
          <w:sz w:val="28"/>
          <w:szCs w:val="28"/>
        </w:rPr>
        <w:t xml:space="preserve"> муниципального образования, Совет депутатов </w:t>
      </w:r>
      <w:r w:rsidR="00657536">
        <w:rPr>
          <w:color w:val="333333"/>
          <w:sz w:val="28"/>
          <w:szCs w:val="28"/>
        </w:rPr>
        <w:t>Казачкинского</w:t>
      </w:r>
      <w:r w:rsidRPr="002B767E">
        <w:rPr>
          <w:color w:val="333333"/>
          <w:sz w:val="28"/>
          <w:szCs w:val="28"/>
        </w:rPr>
        <w:t xml:space="preserve"> муниципального образования</w:t>
      </w:r>
      <w:r w:rsidR="00657536">
        <w:rPr>
          <w:color w:val="333333"/>
          <w:sz w:val="28"/>
          <w:szCs w:val="28"/>
        </w:rPr>
        <w:t xml:space="preserve"> </w:t>
      </w:r>
      <w:r w:rsidR="00657536" w:rsidRPr="00657536">
        <w:rPr>
          <w:color w:val="333333"/>
          <w:sz w:val="28"/>
          <w:szCs w:val="28"/>
        </w:rPr>
        <w:t>Калининского муниципального района Саратовской области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rStyle w:val="a5"/>
          <w:color w:val="333333"/>
          <w:sz w:val="28"/>
          <w:szCs w:val="28"/>
        </w:rPr>
        <w:t>РЕШИЛ:</w:t>
      </w:r>
    </w:p>
    <w:p w:rsidR="002B767E" w:rsidRPr="002B767E" w:rsidRDefault="002B767E" w:rsidP="002B767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>Утвердить </w:t>
      </w:r>
      <w:hyperlink r:id="rId8" w:anchor="p33" w:history="1">
        <w:r w:rsidRPr="002B767E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Порядок</w:t>
        </w:r>
      </w:hyperlink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 рассмотрения Советом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57536" w:rsidRPr="00657536">
        <w:rPr>
          <w:rFonts w:ascii="Times New Roman" w:hAnsi="Times New Roman" w:cs="Times New Roman"/>
          <w:color w:val="333333"/>
          <w:sz w:val="28"/>
          <w:szCs w:val="28"/>
        </w:rPr>
        <w:t>Калининского муниципального района Саратовской области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проектов муниципальных программ и предложений о внесение изменений в муниципальные программы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образования, согласно Приложению.</w:t>
      </w:r>
    </w:p>
    <w:p w:rsidR="002B767E" w:rsidRPr="002B767E" w:rsidRDefault="002B767E" w:rsidP="002B767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официального обнародования.</w:t>
      </w:r>
    </w:p>
    <w:p w:rsidR="002B767E" w:rsidRPr="002B767E" w:rsidRDefault="002B767E" w:rsidP="002B767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8926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926A8" w:rsidRPr="008926A8">
        <w:rPr>
          <w:rFonts w:ascii="Times New Roman" w:hAnsi="Times New Roman" w:cs="Times New Roman"/>
          <w:color w:val="333333"/>
          <w:sz w:val="28"/>
          <w:szCs w:val="28"/>
        </w:rPr>
        <w:t>Калининского муниципального района Саратовской области</w:t>
      </w:r>
      <w:r w:rsidR="008926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2B767E" w:rsidRPr="008D0E3A" w:rsidRDefault="002B767E" w:rsidP="002B767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D0E3A">
        <w:rPr>
          <w:b/>
          <w:color w:val="333333"/>
          <w:sz w:val="28"/>
          <w:szCs w:val="28"/>
        </w:rPr>
        <w:t xml:space="preserve">Глава </w:t>
      </w:r>
      <w:r w:rsidR="00657536" w:rsidRPr="008D0E3A">
        <w:rPr>
          <w:b/>
          <w:color w:val="333333"/>
          <w:sz w:val="28"/>
          <w:szCs w:val="28"/>
        </w:rPr>
        <w:t>Казачкинского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D0E3A">
        <w:rPr>
          <w:b/>
          <w:color w:val="333333"/>
          <w:sz w:val="28"/>
          <w:szCs w:val="28"/>
        </w:rPr>
        <w:t xml:space="preserve">муниципального образования            </w:t>
      </w:r>
      <w:r w:rsidR="00657536" w:rsidRPr="008D0E3A">
        <w:rPr>
          <w:b/>
          <w:color w:val="333333"/>
          <w:sz w:val="28"/>
          <w:szCs w:val="28"/>
        </w:rPr>
        <w:t xml:space="preserve">                        Е.В.</w:t>
      </w:r>
      <w:r w:rsidR="00657536">
        <w:rPr>
          <w:color w:val="333333"/>
          <w:sz w:val="28"/>
          <w:szCs w:val="28"/>
        </w:rPr>
        <w:t>Черкашина</w:t>
      </w:r>
      <w:r w:rsidRPr="002B767E">
        <w:rPr>
          <w:color w:val="333333"/>
          <w:sz w:val="28"/>
          <w:szCs w:val="28"/>
        </w:rPr>
        <w:t xml:space="preserve">                                                    </w:t>
      </w:r>
      <w:r>
        <w:rPr>
          <w:color w:val="333333"/>
          <w:sz w:val="28"/>
          <w:szCs w:val="28"/>
        </w:rPr>
        <w:t xml:space="preserve">                </w:t>
      </w: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lastRenderedPageBreak/>
        <w:t>Приложение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 xml:space="preserve">к решению Совета депутатов </w:t>
      </w:r>
      <w:r w:rsidR="00657536">
        <w:rPr>
          <w:color w:val="333333"/>
          <w:sz w:val="28"/>
          <w:szCs w:val="28"/>
        </w:rPr>
        <w:t>Казачкинского</w:t>
      </w:r>
    </w:p>
    <w:p w:rsidR="0094149D" w:rsidRDefault="002B767E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муниципального образования</w:t>
      </w:r>
      <w:r w:rsidR="0094149D">
        <w:rPr>
          <w:color w:val="333333"/>
          <w:sz w:val="28"/>
          <w:szCs w:val="28"/>
        </w:rPr>
        <w:t xml:space="preserve"> </w:t>
      </w:r>
      <w:r w:rsidR="0094149D" w:rsidRPr="0094149D">
        <w:rPr>
          <w:color w:val="333333"/>
          <w:sz w:val="28"/>
          <w:szCs w:val="28"/>
        </w:rPr>
        <w:t xml:space="preserve">Калининского </w:t>
      </w:r>
    </w:p>
    <w:p w:rsidR="002B767E" w:rsidRPr="002B767E" w:rsidRDefault="0094149D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4149D">
        <w:rPr>
          <w:color w:val="333333"/>
          <w:sz w:val="28"/>
          <w:szCs w:val="28"/>
        </w:rPr>
        <w:t>муниципального района Саратовской области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 xml:space="preserve">от </w:t>
      </w:r>
      <w:r w:rsidR="008D0E3A">
        <w:rPr>
          <w:color w:val="333333"/>
          <w:sz w:val="28"/>
          <w:szCs w:val="28"/>
        </w:rPr>
        <w:t xml:space="preserve"> 21.06.</w:t>
      </w:r>
      <w:r w:rsidRPr="002B767E">
        <w:rPr>
          <w:color w:val="333333"/>
          <w:sz w:val="28"/>
          <w:szCs w:val="28"/>
        </w:rPr>
        <w:t>2021 года №</w:t>
      </w:r>
      <w:r w:rsidR="008D0E3A">
        <w:rPr>
          <w:color w:val="333333"/>
          <w:sz w:val="28"/>
          <w:szCs w:val="28"/>
        </w:rPr>
        <w:t xml:space="preserve"> 16-339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rStyle w:val="a5"/>
          <w:color w:val="333333"/>
          <w:sz w:val="28"/>
          <w:szCs w:val="28"/>
        </w:rPr>
        <w:t> </w:t>
      </w:r>
    </w:p>
    <w:p w:rsidR="002B767E" w:rsidRPr="002B767E" w:rsidRDefault="00D22AD8" w:rsidP="006575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hyperlink r:id="rId9" w:anchor="p33" w:history="1">
        <w:r w:rsidR="002B767E" w:rsidRPr="002B767E">
          <w:rPr>
            <w:rStyle w:val="a3"/>
            <w:b/>
            <w:bCs/>
            <w:color w:val="0088CC"/>
            <w:sz w:val="28"/>
            <w:szCs w:val="28"/>
          </w:rPr>
          <w:t>Порядок</w:t>
        </w:r>
      </w:hyperlink>
      <w:r w:rsidR="00657536">
        <w:rPr>
          <w:color w:val="333333"/>
          <w:sz w:val="28"/>
          <w:szCs w:val="28"/>
        </w:rPr>
        <w:t xml:space="preserve"> </w:t>
      </w:r>
      <w:r w:rsidR="002B767E" w:rsidRPr="002B767E">
        <w:rPr>
          <w:rStyle w:val="a5"/>
          <w:color w:val="333333"/>
          <w:sz w:val="28"/>
          <w:szCs w:val="28"/>
        </w:rPr>
        <w:t xml:space="preserve">рассмотрения Советом депутатов </w:t>
      </w:r>
      <w:r w:rsidR="00657536">
        <w:rPr>
          <w:rStyle w:val="a5"/>
          <w:color w:val="333333"/>
          <w:sz w:val="28"/>
          <w:szCs w:val="28"/>
        </w:rPr>
        <w:t xml:space="preserve">Казачкинского </w:t>
      </w:r>
      <w:r w:rsidR="002B767E" w:rsidRPr="002B767E">
        <w:rPr>
          <w:rStyle w:val="a5"/>
          <w:color w:val="333333"/>
          <w:sz w:val="28"/>
          <w:szCs w:val="28"/>
        </w:rPr>
        <w:t xml:space="preserve">муниципального образования </w:t>
      </w:r>
      <w:r w:rsidR="00657536">
        <w:rPr>
          <w:rStyle w:val="a5"/>
          <w:color w:val="333333"/>
          <w:sz w:val="28"/>
          <w:szCs w:val="28"/>
        </w:rPr>
        <w:t xml:space="preserve">Калининского муниципального района Саратовской области </w:t>
      </w:r>
      <w:r w:rsidR="002B767E" w:rsidRPr="002B767E">
        <w:rPr>
          <w:rStyle w:val="a5"/>
          <w:color w:val="333333"/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657536">
        <w:rPr>
          <w:rStyle w:val="a5"/>
          <w:color w:val="333333"/>
          <w:sz w:val="28"/>
          <w:szCs w:val="28"/>
        </w:rPr>
        <w:t>Казачкинского</w:t>
      </w:r>
      <w:r w:rsidR="002B767E" w:rsidRPr="002B767E">
        <w:rPr>
          <w:rStyle w:val="a5"/>
          <w:color w:val="333333"/>
          <w:sz w:val="28"/>
          <w:szCs w:val="28"/>
        </w:rPr>
        <w:t xml:space="preserve"> муниципального образования</w:t>
      </w:r>
      <w:r w:rsidR="00657536">
        <w:rPr>
          <w:rStyle w:val="a5"/>
          <w:color w:val="333333"/>
          <w:sz w:val="28"/>
          <w:szCs w:val="28"/>
        </w:rPr>
        <w:t xml:space="preserve"> Калининского муниципального района Саратовской области</w:t>
      </w:r>
    </w:p>
    <w:p w:rsidR="002B767E" w:rsidRPr="002B767E" w:rsidRDefault="002B767E" w:rsidP="002B767E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Настоящий Порядок рассмотрения Советом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941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149D" w:rsidRPr="0094149D">
        <w:rPr>
          <w:rFonts w:ascii="Times New Roman" w:hAnsi="Times New Roman" w:cs="Times New Roman"/>
          <w:color w:val="333333"/>
          <w:sz w:val="28"/>
          <w:szCs w:val="28"/>
        </w:rPr>
        <w:t>Калининского муниципального района Саратовской области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941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149D" w:rsidRPr="0094149D">
        <w:rPr>
          <w:rFonts w:ascii="Times New Roman" w:hAnsi="Times New Roman" w:cs="Times New Roman"/>
          <w:color w:val="333333"/>
          <w:sz w:val="28"/>
          <w:szCs w:val="28"/>
        </w:rPr>
        <w:t>Калининского муниципального района Саратовской области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(далее по тексту - Порядок) разработан в соответствии со статьей 179 Бюджетного кодекса Российской Федерации, и устанавливает процедуру рассмотрения Советом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</w:t>
      </w:r>
      <w:r w:rsidR="0094149D" w:rsidRPr="0094149D">
        <w:rPr>
          <w:rFonts w:ascii="Times New Roman" w:hAnsi="Times New Roman" w:cs="Times New Roman"/>
          <w:color w:val="333333"/>
          <w:sz w:val="28"/>
          <w:szCs w:val="28"/>
        </w:rPr>
        <w:t xml:space="preserve">Калининского муниципального района Саратовской области 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941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4149D" w:rsidRPr="0094149D">
        <w:rPr>
          <w:rFonts w:ascii="Times New Roman" w:hAnsi="Times New Roman" w:cs="Times New Roman"/>
          <w:color w:val="333333"/>
          <w:sz w:val="28"/>
          <w:szCs w:val="28"/>
        </w:rPr>
        <w:t>Калининского муниципального района Саратовской области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B767E" w:rsidRPr="002B767E" w:rsidRDefault="002B767E" w:rsidP="002B767E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Проекты новых муниципальных программ, проекты изменений в муниципальные программы направляются в Совет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2B767E" w:rsidRPr="002B767E" w:rsidRDefault="002B767E" w:rsidP="002B767E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Вместе с проектом муниципальной программы в Совет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должны быть представлены документы: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lastRenderedPageBreak/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2B767E" w:rsidRPr="002B767E" w:rsidRDefault="002B767E" w:rsidP="002B767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Совет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в случаях: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1) устранения технических ошибок;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Совета депутатов </w:t>
      </w:r>
      <w:r w:rsidR="00657536">
        <w:rPr>
          <w:color w:val="333333"/>
          <w:sz w:val="28"/>
          <w:szCs w:val="28"/>
        </w:rPr>
        <w:t>Казачкинского</w:t>
      </w:r>
      <w:r w:rsidRPr="002B767E">
        <w:rPr>
          <w:color w:val="333333"/>
          <w:sz w:val="28"/>
          <w:szCs w:val="28"/>
        </w:rPr>
        <w:t xml:space="preserve"> муниципального образования, заключениями органа внешнего муниципального финансового контроля </w:t>
      </w:r>
      <w:r w:rsidR="00657536">
        <w:rPr>
          <w:color w:val="333333"/>
          <w:sz w:val="28"/>
          <w:szCs w:val="28"/>
        </w:rPr>
        <w:t>Казачкинского</w:t>
      </w:r>
      <w:r w:rsidRPr="002B767E">
        <w:rPr>
          <w:color w:val="333333"/>
          <w:sz w:val="28"/>
          <w:szCs w:val="28"/>
        </w:rPr>
        <w:t xml:space="preserve"> муниципального образования.</w:t>
      </w:r>
    </w:p>
    <w:p w:rsidR="002B767E" w:rsidRPr="002B767E" w:rsidRDefault="002B767E" w:rsidP="002B767E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2) эффективность предлагаемых мероприятий;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3) возможность финансового обеспечения реализации мероприятий программы;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4) ожидаемые результаты от реализации муниципальной программы.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5) иные вопросы, связанные с реализацией проекта.</w:t>
      </w:r>
    </w:p>
    <w:p w:rsidR="002B767E" w:rsidRPr="002B767E" w:rsidRDefault="002B767E" w:rsidP="002B767E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 комиссию по бюджетно-финансовым и экономическим вопросам, налогам, собственности и предпринимательству (далее по тексту - Комиссия) в соответствии с направлением ее деятельности.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lastRenderedPageBreak/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представители органа внешнего муниципального финансового контроля муниципального образования.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При необходимости Комиссия вправе запросить заключение органа внешнего муниципального финансового контроля муниципального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2B767E" w:rsidRPr="002B767E" w:rsidRDefault="002B767E" w:rsidP="002B767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>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2B767E" w:rsidRPr="002B767E" w:rsidRDefault="002B767E" w:rsidP="002B767E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По результатам рассмотрения проекта муниципальной программы комиссия передает в Совет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материалы, связанные с рассмотрением муниципальной программы, на основании которых Совет депутатов </w:t>
      </w:r>
      <w:r w:rsidR="00657536">
        <w:rPr>
          <w:rFonts w:ascii="Times New Roman" w:hAnsi="Times New Roman" w:cs="Times New Roman"/>
          <w:color w:val="333333"/>
          <w:sz w:val="28"/>
          <w:szCs w:val="28"/>
        </w:rPr>
        <w:t>Казачкинского</w:t>
      </w:r>
      <w:r w:rsidRPr="002B767E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образования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2B767E" w:rsidRPr="002B767E" w:rsidRDefault="002B767E" w:rsidP="002B767E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2B76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 </w:t>
      </w:r>
      <w:hyperlink r:id="rId10" w:anchor="p40" w:history="1">
        <w:r w:rsidRPr="002B767E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пунктах 2</w:t>
        </w:r>
      </w:hyperlink>
      <w:r w:rsidRPr="002B767E">
        <w:rPr>
          <w:rFonts w:ascii="Times New Roman" w:hAnsi="Times New Roman" w:cs="Times New Roman"/>
          <w:color w:val="333333"/>
          <w:sz w:val="28"/>
          <w:szCs w:val="28"/>
        </w:rPr>
        <w:t> и </w:t>
      </w:r>
      <w:hyperlink r:id="rId11" w:anchor="p41" w:history="1">
        <w:r w:rsidRPr="002B767E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3</w:t>
        </w:r>
      </w:hyperlink>
      <w:r w:rsidRPr="002B767E">
        <w:rPr>
          <w:rFonts w:ascii="Times New Roman" w:hAnsi="Times New Roman" w:cs="Times New Roman"/>
          <w:color w:val="333333"/>
          <w:sz w:val="28"/>
          <w:szCs w:val="28"/>
        </w:rPr>
        <w:t> настоящего Порядка, а также ненаправление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 </w:t>
      </w: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4149D" w:rsidRDefault="0094149D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7536" w:rsidRPr="002B767E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B767E" w:rsidRPr="0094149D" w:rsidRDefault="002B767E" w:rsidP="0065753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4149D">
        <w:rPr>
          <w:b/>
          <w:color w:val="333333"/>
          <w:sz w:val="28"/>
          <w:szCs w:val="28"/>
        </w:rPr>
        <w:lastRenderedPageBreak/>
        <w:t>ПОЯСНИТЕЛЬНАЯ ЗАПИСКА</w:t>
      </w:r>
    </w:p>
    <w:p w:rsidR="00657536" w:rsidRPr="0094149D" w:rsidRDefault="002B767E" w:rsidP="009414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4149D">
        <w:rPr>
          <w:b/>
          <w:color w:val="333333"/>
          <w:sz w:val="28"/>
          <w:szCs w:val="28"/>
        </w:rPr>
        <w:t xml:space="preserve">к проекту решения «Об утверждении Порядка рассмотрения Советом депутатов </w:t>
      </w:r>
      <w:r w:rsidR="00657536" w:rsidRPr="0094149D">
        <w:rPr>
          <w:b/>
          <w:color w:val="333333"/>
          <w:sz w:val="28"/>
          <w:szCs w:val="28"/>
        </w:rPr>
        <w:t>Казачкинского</w:t>
      </w:r>
      <w:r w:rsidRPr="0094149D">
        <w:rPr>
          <w:b/>
          <w:color w:val="333333"/>
          <w:sz w:val="28"/>
          <w:szCs w:val="28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r w:rsidR="00657536" w:rsidRPr="0094149D">
        <w:rPr>
          <w:b/>
          <w:color w:val="333333"/>
          <w:sz w:val="28"/>
          <w:szCs w:val="28"/>
        </w:rPr>
        <w:t>Казачкинского</w:t>
      </w:r>
      <w:r w:rsidRPr="0094149D">
        <w:rPr>
          <w:b/>
          <w:color w:val="333333"/>
          <w:sz w:val="28"/>
          <w:szCs w:val="28"/>
        </w:rPr>
        <w:t xml:space="preserve"> муниципального образования»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В ходе проводимых органами прокуратуры проверок выявляются отдельные недостатки разрабатываемых и утверждаемых исполнительными органами местного самоуправления муниципальных программ: суммы финансового обеспечения не согласуются с решениями о бюджетах; в программах предусматриваются неточные, «прогнозные» значения размеров средств, необходимых для реализации предусмотренных в документах мероприятий, отмечается отсутствие комплексного подхода для разрешения проблемных вопросов.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Согласно п. 9 ч. 10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ч. 2 ст.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На региональном уровне такой порядок установлен Законом Саратовской области от 29.10.2014 № 137-ЗСО «О порядке рассмотрения Саратовской областной Думой проектов государственных программ Саратовской области» и эффективно реализуется в форме направления законодательным органом предложений о дополнении и корректировке разрабатываемых исполнительными органами власти нормативных документов.</w:t>
      </w:r>
    </w:p>
    <w:p w:rsid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развитие указанных положений ч. 2 ст.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муниципального образования.</w:t>
      </w:r>
    </w:p>
    <w:p w:rsidR="00657536" w:rsidRDefault="00657536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4149D" w:rsidRPr="002B767E" w:rsidRDefault="0094149D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4149D" w:rsidRPr="0094149D" w:rsidRDefault="002B767E" w:rsidP="0094149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4149D">
        <w:rPr>
          <w:b/>
          <w:color w:val="333333"/>
          <w:sz w:val="28"/>
          <w:szCs w:val="28"/>
        </w:rPr>
        <w:lastRenderedPageBreak/>
        <w:t>ФИНАНСОВО-ЭКОНОМИЧЕСКОЕ ОБОСНОВАНИЕ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к проекту решения _____(наименование муниципального образования) «Об утверждении порядка рассмотрения ________ 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 _______ (указать наименование муниципального образования)»</w:t>
      </w:r>
    </w:p>
    <w:p w:rsidR="002B767E" w:rsidRPr="002B767E" w:rsidRDefault="002B767E" w:rsidP="002B767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767E">
        <w:rPr>
          <w:color w:val="333333"/>
          <w:sz w:val="28"/>
          <w:szCs w:val="28"/>
        </w:rPr>
        <w:t>Принятие и реализация предлагаемого решения «Об утверждении порядка рассмотрения ________ (указать наименование представительного органа) проектов муниципальных программ и предложений о внесении изменений в муниципальные программы муниципального образования _______ (указать наименование муниципального образования)» не потребует дополнительных расходов из средств муниципального бюджета.</w:t>
      </w:r>
    </w:p>
    <w:p w:rsidR="00584182" w:rsidRDefault="00584182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Default="00D90F1D">
      <w:pPr>
        <w:pStyle w:val="Bodytext20"/>
        <w:shd w:val="clear" w:color="auto" w:fill="auto"/>
        <w:spacing w:before="0"/>
        <w:ind w:firstLine="580"/>
      </w:pPr>
    </w:p>
    <w:p w:rsidR="00D90F1D" w:rsidRPr="006831DC" w:rsidRDefault="00D90F1D" w:rsidP="006831DC">
      <w:pPr>
        <w:pStyle w:val="Bodytext20"/>
        <w:ind w:firstLine="580"/>
        <w:jc w:val="center"/>
        <w:rPr>
          <w:b/>
        </w:rPr>
      </w:pPr>
      <w:r w:rsidRPr="006831DC">
        <w:rPr>
          <w:b/>
        </w:rPr>
        <w:lastRenderedPageBreak/>
        <w:t>Перечень нормативных правовых актов</w:t>
      </w:r>
    </w:p>
    <w:p w:rsidR="006831DC" w:rsidRPr="006831DC" w:rsidRDefault="00D90F1D" w:rsidP="006831DC">
      <w:pPr>
        <w:pStyle w:val="Bodytext20"/>
        <w:ind w:firstLine="580"/>
        <w:jc w:val="center"/>
        <w:rPr>
          <w:b/>
        </w:rPr>
      </w:pPr>
      <w:r w:rsidRPr="006831DC">
        <w:rPr>
          <w:b/>
        </w:rPr>
        <w:t xml:space="preserve">органа местного самоуправления, подлежащих признанию утратившими силу, приостановлению изменению в связи с принятием проекта решения </w:t>
      </w:r>
      <w:r w:rsidR="006831DC" w:rsidRPr="006831DC">
        <w:rPr>
          <w:b/>
        </w:rPr>
        <w:t xml:space="preserve"> Советом депутатов Казачкинского муниципального образования Калининского муниципального района Саратовской области </w:t>
      </w:r>
      <w:r w:rsidRPr="006831DC">
        <w:rPr>
          <w:b/>
        </w:rPr>
        <w:t>«</w:t>
      </w:r>
      <w:r w:rsidR="006831DC" w:rsidRPr="006831DC">
        <w:rPr>
          <w:b/>
        </w:rPr>
        <w:t>Об утверждении Порядка рассмотрения Советом депутатов Казачкинского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Казачкинского муниципального образования Калининского муниципального района Саратовской области»</w:t>
      </w:r>
    </w:p>
    <w:p w:rsidR="006831DC" w:rsidRDefault="006831DC" w:rsidP="00D90F1D">
      <w:pPr>
        <w:pStyle w:val="Bodytext20"/>
        <w:shd w:val="clear" w:color="auto" w:fill="auto"/>
        <w:spacing w:before="0"/>
        <w:ind w:firstLine="580"/>
      </w:pPr>
    </w:p>
    <w:p w:rsidR="00D90F1D" w:rsidRPr="002B767E" w:rsidRDefault="00D90F1D" w:rsidP="00D90F1D">
      <w:pPr>
        <w:pStyle w:val="Bodytext20"/>
        <w:shd w:val="clear" w:color="auto" w:fill="auto"/>
        <w:spacing w:before="0"/>
        <w:ind w:firstLine="580"/>
      </w:pPr>
      <w:r>
        <w:t xml:space="preserve">Принятие и реализация решения </w:t>
      </w:r>
      <w:r w:rsidR="006831DC" w:rsidRPr="006831DC">
        <w:t>проекта решения  Советом депутатов Казачкинского муниципального образования Калининского муниципального района Саратовской области «Об утверждении Порядка рассмотрения Советом депутатов Казачкинского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Казачкинского муниципального образования Калининского муниципального района Саратовской области»</w:t>
      </w:r>
      <w:r w:rsidR="006831DC">
        <w:t xml:space="preserve"> не</w:t>
      </w:r>
      <w:r>
        <w:t xml:space="preserve"> повлечет признание утратившими силу, приостановление, изменение или принятие нормативных правовых актов органа местного самоуправления </w:t>
      </w:r>
      <w:r w:rsidR="006831DC">
        <w:t xml:space="preserve">Казачкинского </w:t>
      </w:r>
      <w:r>
        <w:t xml:space="preserve">муниципального образования Калининского </w:t>
      </w:r>
      <w:r w:rsidR="006831DC">
        <w:t xml:space="preserve">муниципального района Саратовской области. </w:t>
      </w:r>
    </w:p>
    <w:sectPr w:rsidR="00D90F1D" w:rsidRPr="002B767E" w:rsidSect="00584182">
      <w:pgSz w:w="11900" w:h="16840"/>
      <w:pgMar w:top="1013" w:right="1320" w:bottom="1013" w:left="11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24" w:rsidRDefault="00E56024" w:rsidP="00584182">
      <w:r>
        <w:separator/>
      </w:r>
    </w:p>
  </w:endnote>
  <w:endnote w:type="continuationSeparator" w:id="1">
    <w:p w:rsidR="00E56024" w:rsidRDefault="00E56024" w:rsidP="0058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24" w:rsidRDefault="00E56024"/>
  </w:footnote>
  <w:footnote w:type="continuationSeparator" w:id="1">
    <w:p w:rsidR="00E56024" w:rsidRDefault="00E560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537"/>
    <w:multiLevelType w:val="multilevel"/>
    <w:tmpl w:val="15E2F0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21A77"/>
    <w:multiLevelType w:val="multilevel"/>
    <w:tmpl w:val="1298B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56B9"/>
    <w:multiLevelType w:val="multilevel"/>
    <w:tmpl w:val="8AECF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328EC"/>
    <w:multiLevelType w:val="multilevel"/>
    <w:tmpl w:val="3330F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760E9"/>
    <w:multiLevelType w:val="multilevel"/>
    <w:tmpl w:val="45960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E2BE2"/>
    <w:multiLevelType w:val="multilevel"/>
    <w:tmpl w:val="69126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0657B"/>
    <w:multiLevelType w:val="multilevel"/>
    <w:tmpl w:val="E0105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B53A7"/>
    <w:multiLevelType w:val="multilevel"/>
    <w:tmpl w:val="F918A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33A75"/>
    <w:multiLevelType w:val="multilevel"/>
    <w:tmpl w:val="CAAE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B4CC2"/>
    <w:multiLevelType w:val="multilevel"/>
    <w:tmpl w:val="CF823E2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4201B"/>
    <w:multiLevelType w:val="multilevel"/>
    <w:tmpl w:val="B21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F0777"/>
    <w:multiLevelType w:val="multilevel"/>
    <w:tmpl w:val="32007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B3C3D"/>
    <w:multiLevelType w:val="multilevel"/>
    <w:tmpl w:val="95CE7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4182"/>
    <w:rsid w:val="002B767E"/>
    <w:rsid w:val="00492F25"/>
    <w:rsid w:val="00584182"/>
    <w:rsid w:val="00657536"/>
    <w:rsid w:val="006831DC"/>
    <w:rsid w:val="008926A8"/>
    <w:rsid w:val="008D0E3A"/>
    <w:rsid w:val="0094149D"/>
    <w:rsid w:val="009E654E"/>
    <w:rsid w:val="00D22AD8"/>
    <w:rsid w:val="00D90F1D"/>
    <w:rsid w:val="00E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1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182"/>
    <w:rPr>
      <w:color w:val="0066CC"/>
      <w:u w:val="single"/>
    </w:rPr>
  </w:style>
  <w:style w:type="character" w:customStyle="1" w:styleId="Bodytext7Exact">
    <w:name w:val="Body text (7) Exact"/>
    <w:basedOn w:val="a0"/>
    <w:link w:val="Bodytext7"/>
    <w:rsid w:val="00584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584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584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584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584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6SmallCaps">
    <w:name w:val="Body text (6) + Small Caps"/>
    <w:basedOn w:val="Bodytext6"/>
    <w:rsid w:val="00584182"/>
    <w:rPr>
      <w:smallCaps/>
      <w:color w:val="000000"/>
      <w:w w:val="100"/>
      <w:position w:val="0"/>
      <w:lang w:val="ru-RU" w:eastAsia="ru-RU" w:bidi="ru-RU"/>
    </w:rPr>
  </w:style>
  <w:style w:type="character" w:customStyle="1" w:styleId="Bodytext6NotBoldSpacing0pt">
    <w:name w:val="Body text (6) + Not Bold;Spacing 0 pt"/>
    <w:basedOn w:val="Bodytext6"/>
    <w:rsid w:val="00584182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584182"/>
    <w:rPr>
      <w:rFonts w:ascii="Constantia" w:eastAsia="Constantia" w:hAnsi="Constantia" w:cs="Constantia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81">
    <w:name w:val="Body text (8)"/>
    <w:basedOn w:val="Bodytext8"/>
    <w:rsid w:val="0058418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8TimesNewRoman14ptNotBold">
    <w:name w:val="Body text (8) + Times New Roman;14 pt;Not Bold"/>
    <w:basedOn w:val="Bodytext8"/>
    <w:rsid w:val="00584182"/>
    <w:rPr>
      <w:rFonts w:ascii="Times New Roman" w:eastAsia="Times New Roman" w:hAnsi="Times New Roman" w:cs="Times New Roman"/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584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25ptItalic">
    <w:name w:val="Body text (2) + 5 pt;Italic"/>
    <w:basedOn w:val="Bodytext2"/>
    <w:rsid w:val="00584182"/>
    <w:rPr>
      <w:i/>
      <w:iCs/>
      <w:color w:val="000000"/>
      <w:w w:val="100"/>
      <w:position w:val="0"/>
      <w:sz w:val="10"/>
      <w:szCs w:val="10"/>
      <w:lang w:val="ru-RU" w:eastAsia="ru-RU" w:bidi="ru-RU"/>
    </w:rPr>
  </w:style>
  <w:style w:type="character" w:customStyle="1" w:styleId="Bodytext213ptBoldSpacing0pt">
    <w:name w:val="Body text (2) + 13 pt;Bold;Spacing 0 pt"/>
    <w:basedOn w:val="Bodytext2"/>
    <w:rsid w:val="0058418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5841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Constantia15ptSpacing0pt">
    <w:name w:val="Body text (2) + Constantia;15 pt;Spacing 0 pt"/>
    <w:basedOn w:val="Bodytext2"/>
    <w:rsid w:val="00584182"/>
    <w:rPr>
      <w:rFonts w:ascii="Constantia" w:eastAsia="Constantia" w:hAnsi="Constantia" w:cs="Constanti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Bodytext2Impact11pt">
    <w:name w:val="Body text (2) + Impact;11 pt"/>
    <w:basedOn w:val="Bodytext2"/>
    <w:rsid w:val="00584182"/>
    <w:rPr>
      <w:rFonts w:ascii="Impact" w:eastAsia="Impact" w:hAnsi="Impact" w:cs="Impact"/>
      <w:b/>
      <w:b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Bodytext2ConstantiaSpacing0pt">
    <w:name w:val="Body text (2) + Constantia;Spacing 0 pt"/>
    <w:basedOn w:val="Bodytext2"/>
    <w:rsid w:val="00584182"/>
    <w:rPr>
      <w:rFonts w:ascii="Constantia" w:eastAsia="Constantia" w:hAnsi="Constantia" w:cs="Constantia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Bodytext7">
    <w:name w:val="Body text (7)"/>
    <w:basedOn w:val="a"/>
    <w:link w:val="Bodytext7Exact"/>
    <w:rsid w:val="00584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584182"/>
    <w:pPr>
      <w:shd w:val="clear" w:color="auto" w:fill="FFFFFF"/>
      <w:spacing w:after="10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584182"/>
    <w:pPr>
      <w:shd w:val="clear" w:color="auto" w:fill="FFFFFF"/>
      <w:spacing w:before="1080" w:after="240" w:line="322" w:lineRule="exact"/>
      <w:ind w:hanging="2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rsid w:val="00584182"/>
    <w:pPr>
      <w:shd w:val="clear" w:color="auto" w:fill="FFFFFF"/>
      <w:spacing w:before="120" w:after="960" w:line="0" w:lineRule="atLeas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odytext60">
    <w:name w:val="Body text (6)"/>
    <w:basedOn w:val="a"/>
    <w:link w:val="Bodytext6"/>
    <w:rsid w:val="00584182"/>
    <w:pPr>
      <w:shd w:val="clear" w:color="auto" w:fill="FFFFFF"/>
      <w:spacing w:before="960" w:line="274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Bodytext80">
    <w:name w:val="Body text (8)"/>
    <w:basedOn w:val="a"/>
    <w:link w:val="Bodytext8"/>
    <w:rsid w:val="00584182"/>
    <w:pPr>
      <w:shd w:val="clear" w:color="auto" w:fill="FFFFFF"/>
      <w:spacing w:before="240" w:after="240" w:line="317" w:lineRule="exact"/>
      <w:jc w:val="center"/>
    </w:pPr>
    <w:rPr>
      <w:rFonts w:ascii="Constantia" w:eastAsia="Constantia" w:hAnsi="Constantia" w:cs="Constantia"/>
      <w:b/>
      <w:bCs/>
      <w:spacing w:val="20"/>
      <w:sz w:val="26"/>
      <w:szCs w:val="26"/>
    </w:rPr>
  </w:style>
  <w:style w:type="paragraph" w:customStyle="1" w:styleId="Bodytext20">
    <w:name w:val="Body text (2)"/>
    <w:basedOn w:val="a"/>
    <w:link w:val="Bodytext2"/>
    <w:rsid w:val="00584182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B76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2B76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6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2021-06-30T07:19:00Z</cp:lastPrinted>
  <dcterms:created xsi:type="dcterms:W3CDTF">2021-06-21T10:48:00Z</dcterms:created>
  <dcterms:modified xsi:type="dcterms:W3CDTF">2021-06-30T07:19:00Z</dcterms:modified>
</cp:coreProperties>
</file>